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A0" w:rsidRDefault="003B2E8B" w:rsidP="002001A0">
      <w:pPr>
        <w:ind w:left="-142"/>
        <w:rPr>
          <w:rFonts w:ascii="標楷體" w:eastAsia="標楷體" w:hAnsi="標楷體" w:cs="標楷體"/>
          <w:sz w:val="32"/>
          <w:szCs w:val="32"/>
        </w:rPr>
      </w:pPr>
      <w:bookmarkStart w:id="0" w:name="_GoBack"/>
      <w:bookmarkEnd w:id="0"/>
      <w:r>
        <w:rPr>
          <w:rFonts w:eastAsia="新細明體"/>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121920</wp:posOffset>
                </wp:positionV>
                <wp:extent cx="1089660" cy="251460"/>
                <wp:effectExtent l="0" t="0" r="15240" b="1524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1460"/>
                        </a:xfrm>
                        <a:prstGeom prst="rect">
                          <a:avLst/>
                        </a:prstGeom>
                        <a:solidFill>
                          <a:srgbClr val="FFFFFF"/>
                        </a:solidFill>
                        <a:ln w="9525">
                          <a:solidFill>
                            <a:srgbClr val="000000"/>
                          </a:solidFill>
                          <a:miter lim="800000"/>
                          <a:headEnd/>
                          <a:tailEnd/>
                        </a:ln>
                      </wps:spPr>
                      <wps:txbx>
                        <w:txbxContent>
                          <w:p w:rsidR="002001A0" w:rsidRPr="00973452" w:rsidRDefault="002001A0" w:rsidP="002001A0">
                            <w:pPr>
                              <w:jc w:val="center"/>
                              <w:rPr>
                                <w:b/>
                              </w:rPr>
                            </w:pPr>
                            <w:r>
                              <w:rPr>
                                <w:rFonts w:hint="eastAsia"/>
                                <w:b/>
                              </w:rPr>
                              <w:t>1-24</w:t>
                            </w:r>
                            <w:r>
                              <w:rPr>
                                <w:b/>
                              </w:rPr>
                              <w:t>-</w:t>
                            </w:r>
                            <w:r>
                              <w:rPr>
                                <w:b/>
                              </w:rPr>
                              <w:t>銅蘭國小</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r>
                        <w:rPr>
                          <w:b/>
                        </w:rPr>
                        <w:t>銅蘭國小</w:t>
                      </w:r>
                    </w:p>
                  </w:txbxContent>
                </v:textbox>
              </v:shape>
            </w:pict>
          </mc:Fallback>
        </mc:AlternateContent>
      </w:r>
    </w:p>
    <w:p w:rsidR="002001A0" w:rsidRPr="002001A0" w:rsidRDefault="002001A0" w:rsidP="002001A0">
      <w:pPr>
        <w:spacing w:after="0" w:line="360" w:lineRule="auto"/>
        <w:ind w:left="-142"/>
        <w:jc w:val="center"/>
        <w:rPr>
          <w:rFonts w:ascii="Times New Roman" w:eastAsia="標楷體" w:hAnsi="Times New Roman"/>
          <w:b/>
          <w:sz w:val="28"/>
          <w:szCs w:val="28"/>
        </w:rPr>
      </w:pPr>
      <w:r w:rsidRPr="002001A0">
        <w:rPr>
          <w:rFonts w:ascii="Times New Roman" w:eastAsia="標楷體" w:hAnsi="Times New Roman"/>
          <w:b/>
          <w:sz w:val="28"/>
          <w:szCs w:val="28"/>
        </w:rPr>
        <w:t>花蓮縣</w:t>
      </w:r>
      <w:r w:rsidRPr="002001A0">
        <w:rPr>
          <w:rFonts w:ascii="Times New Roman" w:eastAsia="標楷體" w:hAnsi="Times New Roman"/>
          <w:b/>
          <w:sz w:val="28"/>
          <w:szCs w:val="28"/>
        </w:rPr>
        <w:t>107</w:t>
      </w:r>
      <w:r w:rsidRPr="002001A0">
        <w:rPr>
          <w:rFonts w:ascii="Times New Roman" w:eastAsia="標楷體" w:hAnsi="Times New Roman"/>
          <w:b/>
          <w:sz w:val="28"/>
          <w:szCs w:val="28"/>
        </w:rPr>
        <w:t>學年度精進國民中小學教學專業與課程品質整體推動計畫</w:t>
      </w:r>
    </w:p>
    <w:p w:rsidR="002001A0" w:rsidRPr="00C9695B" w:rsidRDefault="002001A0" w:rsidP="002001A0">
      <w:pPr>
        <w:spacing w:after="0" w:line="360" w:lineRule="auto"/>
        <w:ind w:left="-142"/>
        <w:jc w:val="center"/>
        <w:rPr>
          <w:rFonts w:ascii="標楷體" w:eastAsia="標楷體" w:hAnsi="標楷體"/>
          <w:b/>
          <w:sz w:val="28"/>
          <w:szCs w:val="28"/>
        </w:rPr>
      </w:pPr>
      <w:r w:rsidRPr="00C9695B">
        <w:rPr>
          <w:rFonts w:ascii="標楷體" w:eastAsia="標楷體" w:hAnsi="標楷體" w:cs="Gungsuh"/>
          <w:b/>
          <w:sz w:val="28"/>
          <w:szCs w:val="28"/>
        </w:rPr>
        <w:t>在地典範教師經驗傳承系列講座</w:t>
      </w:r>
      <w:r w:rsidRPr="00C9695B">
        <w:rPr>
          <w:rFonts w:ascii="標楷體" w:eastAsia="標楷體" w:hAnsi="標楷體" w:cs="Gungsuh" w:hint="eastAsia"/>
          <w:b/>
          <w:sz w:val="28"/>
          <w:szCs w:val="28"/>
        </w:rPr>
        <w:t>-北區場</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2001A0" w:rsidRPr="00C9695B" w:rsidRDefault="002001A0" w:rsidP="00C9695B">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2001A0" w:rsidRPr="00C9695B" w:rsidRDefault="002001A0" w:rsidP="00C9695B">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r w:rsidRPr="00C9695B">
        <w:rPr>
          <w:rFonts w:ascii="Times New Roman" w:eastAsia="標楷體" w:hAnsi="Times New Roman"/>
          <w:sz w:val="24"/>
          <w:szCs w:val="24"/>
        </w:rPr>
        <w:t>學年度精進國民中小學教學專業與課程品質整體推動計畫。</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2001A0" w:rsidRPr="00C9695B" w:rsidRDefault="002001A0" w:rsidP="00C9695B">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 xml:space="preserve">隨著網路社群平台推波助瀾，全國各地翻轉教育自主研習蓬勃發展，許多素人教師在各自教學場域耕耘有成，透過社群運作與網路共享方式，創造更多共備協作的可能，無形中也促進老師無私分享與共學共作的社群氛圍。 </w:t>
      </w:r>
    </w:p>
    <w:p w:rsidR="002001A0" w:rsidRPr="00C9695B" w:rsidRDefault="002001A0" w:rsidP="00C9695B">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許多教師專業學習社群更在這波草根性的教育風潮中展現高度教師自主專業探究的態度，結合共備觀課議課，並關注學生學習的樣貌，特別是不管縣內或教育部相關計畫中社群運作幾乎已成為學校校本課程建構與創新教學的常態。 </w:t>
      </w:r>
    </w:p>
    <w:p w:rsidR="002001A0" w:rsidRPr="00C9695B" w:rsidRDefault="002001A0" w:rsidP="00C9695B">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2001A0" w:rsidRPr="00C9695B" w:rsidRDefault="002001A0" w:rsidP="00C9695B">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在此風起雲湧教師勇於嘗試並願意在課堂上創新變革的新世代，如何建構分享機制，發掘更多素人教師，透過 TED 短講形式，盤點整理各自教學創新精華，透過生命影響生命，熱情召喚熱情方式，典範轉移啟動更多教師自覺與改變，創造更多教學創新的可能。</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2001A0" w:rsidRPr="00C9695B" w:rsidRDefault="002001A0" w:rsidP="00C9695B">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2001A0" w:rsidRPr="00C9695B" w:rsidRDefault="002001A0" w:rsidP="00C9695B">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2001A0" w:rsidRPr="00C9695B" w:rsidRDefault="002001A0" w:rsidP="00C9695B">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r w:rsidRPr="00C9695B">
        <w:rPr>
          <w:rFonts w:ascii="標楷體" w:eastAsia="標楷體" w:hAnsi="標楷體" w:cs="Gungsuh" w:hint="eastAsia"/>
          <w:sz w:val="24"/>
          <w:szCs w:val="24"/>
        </w:rPr>
        <w:t>銅蘭</w:t>
      </w:r>
      <w:r w:rsidR="00C9695B">
        <w:rPr>
          <w:rFonts w:ascii="標楷體" w:eastAsia="標楷體" w:hAnsi="標楷體" w:cs="Gungsuh"/>
          <w:sz w:val="24"/>
          <w:szCs w:val="24"/>
        </w:rPr>
        <w:t>國民小學</w:t>
      </w:r>
    </w:p>
    <w:p w:rsidR="002001A0" w:rsidRPr="00C9695B" w:rsidRDefault="002001A0" w:rsidP="00C9695B">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sidR="00C9695B">
        <w:rPr>
          <w:rFonts w:ascii="標楷體" w:eastAsia="標楷體" w:hAnsi="標楷體" w:cs="Gungsuh" w:hint="eastAsia"/>
          <w:sz w:val="24"/>
          <w:szCs w:val="24"/>
        </w:rPr>
        <w:t>8</w:t>
      </w:r>
      <w:r w:rsidRPr="00C9695B">
        <w:rPr>
          <w:rFonts w:ascii="標楷體" w:eastAsia="標楷體" w:hAnsi="標楷體" w:cs="Gungsuh"/>
          <w:sz w:val="24"/>
          <w:szCs w:val="24"/>
        </w:rPr>
        <w:t>年</w:t>
      </w:r>
      <w:r w:rsidR="00C9695B">
        <w:rPr>
          <w:rFonts w:ascii="標楷體" w:eastAsia="標楷體" w:hAnsi="標楷體" w:cs="Gungsuh" w:hint="eastAsia"/>
          <w:sz w:val="24"/>
          <w:szCs w:val="24"/>
        </w:rPr>
        <w:t>5</w:t>
      </w:r>
      <w:r w:rsidR="00C9695B">
        <w:rPr>
          <w:rFonts w:ascii="標楷體" w:eastAsia="標楷體" w:hAnsi="標楷體" w:cs="Gungsuh"/>
          <w:sz w:val="24"/>
          <w:szCs w:val="24"/>
        </w:rPr>
        <w:t>月</w:t>
      </w:r>
      <w:r w:rsidR="00C9695B">
        <w:rPr>
          <w:rFonts w:ascii="標楷體" w:eastAsia="標楷體" w:hAnsi="標楷體" w:cs="Gungsuh" w:hint="eastAsia"/>
          <w:sz w:val="24"/>
          <w:szCs w:val="24"/>
        </w:rPr>
        <w:t>29日(星期三)</w:t>
      </w:r>
    </w:p>
    <w:p w:rsidR="002001A0" w:rsidRPr="00C9695B" w:rsidRDefault="002001A0" w:rsidP="00C9695B">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r w:rsidRPr="00C9695B">
        <w:rPr>
          <w:rFonts w:ascii="標楷體" w:eastAsia="標楷體" w:hAnsi="標楷體" w:cs="Gungsuh" w:hint="eastAsia"/>
          <w:sz w:val="24"/>
          <w:szCs w:val="24"/>
        </w:rPr>
        <w:t>銅蘭</w:t>
      </w:r>
      <w:r w:rsidR="00C9695B">
        <w:rPr>
          <w:rFonts w:ascii="標楷體" w:eastAsia="標楷體" w:hAnsi="標楷體" w:cs="Gungsuh"/>
          <w:sz w:val="24"/>
          <w:szCs w:val="24"/>
        </w:rPr>
        <w:t>國民小學</w:t>
      </w:r>
    </w:p>
    <w:p w:rsidR="002001A0" w:rsidRPr="00C9695B" w:rsidRDefault="002001A0" w:rsidP="00C9695B">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柒</w:t>
      </w:r>
      <w:r w:rsidR="00C9695B" w:rsidRPr="00C9695B">
        <w:rPr>
          <w:rFonts w:ascii="標楷體" w:eastAsia="標楷體" w:hAnsi="標楷體" w:cs="Gungsuh"/>
          <w:b/>
          <w:sz w:val="24"/>
          <w:szCs w:val="24"/>
        </w:rPr>
        <w:t>、參加對象與人數</w:t>
      </w:r>
      <w:r w:rsidR="00C9695B">
        <w:rPr>
          <w:rFonts w:ascii="標楷體" w:eastAsia="標楷體" w:hAnsi="標楷體" w:cs="Gungsuh"/>
          <w:sz w:val="24"/>
          <w:szCs w:val="24"/>
        </w:rPr>
        <w:t>：</w:t>
      </w:r>
      <w:r w:rsidRPr="00C9695B">
        <w:rPr>
          <w:rFonts w:ascii="標楷體" w:eastAsia="標楷體" w:hAnsi="標楷體" w:cs="Gungsuh"/>
          <w:sz w:val="24"/>
          <w:szCs w:val="24"/>
        </w:rPr>
        <w:t>參與教師</w:t>
      </w:r>
      <w:r w:rsidR="00923F37">
        <w:rPr>
          <w:rFonts w:ascii="標楷體" w:eastAsia="標楷體" w:hAnsi="標楷體" w:cs="Gungsuh" w:hint="eastAsia"/>
          <w:sz w:val="24"/>
          <w:szCs w:val="24"/>
        </w:rPr>
        <w:t>30</w:t>
      </w:r>
      <w:r w:rsidRPr="00C9695B">
        <w:rPr>
          <w:rFonts w:ascii="標楷體" w:eastAsia="標楷體" w:hAnsi="標楷體" w:cs="Gungsuh"/>
          <w:sz w:val="24"/>
          <w:szCs w:val="24"/>
        </w:rPr>
        <w:t>人</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00"/>
        <w:gridCol w:w="4363"/>
        <w:gridCol w:w="2583"/>
      </w:tblGrid>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銅蘭國小行政團隊</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A86644" w:rsidRDefault="00A86644" w:rsidP="00954F25">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A86644"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lastRenderedPageBreak/>
              <w:t>講師群：</w:t>
            </w:r>
          </w:p>
          <w:p w:rsidR="00A86644" w:rsidRDefault="00A86644" w:rsidP="00954F25">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lastRenderedPageBreak/>
              <w:t>東華附小林華峰組長</w:t>
            </w:r>
          </w:p>
          <w:p w:rsidR="00A86644" w:rsidRDefault="00A86644" w:rsidP="00954F25">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東華附小洪菁菁組長</w:t>
            </w:r>
          </w:p>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cs="Gungsuh" w:hint="eastAsia"/>
                <w:sz w:val="24"/>
                <w:szCs w:val="24"/>
              </w:rPr>
              <w:t>稻香國小黃桂蓉老師</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A86644"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講師群：</w:t>
            </w:r>
          </w:p>
          <w:p w:rsidR="00A86644" w:rsidRDefault="00A86644" w:rsidP="00A86644">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東華附小林華峰組長</w:t>
            </w:r>
          </w:p>
          <w:p w:rsidR="00A86644" w:rsidRDefault="00A86644" w:rsidP="00A86644">
            <w:pPr>
              <w:spacing w:after="0" w:line="240" w:lineRule="atLeast"/>
              <w:rPr>
                <w:rFonts w:ascii="標楷體" w:eastAsia="標楷體" w:hAnsi="標楷體" w:cs="Gungsuh"/>
                <w:sz w:val="24"/>
                <w:szCs w:val="24"/>
              </w:rPr>
            </w:pPr>
            <w:r>
              <w:rPr>
                <w:rFonts w:ascii="標楷體" w:eastAsia="標楷體" w:hAnsi="標楷體" w:cs="Gungsuh" w:hint="eastAsia"/>
                <w:sz w:val="24"/>
                <w:szCs w:val="24"/>
              </w:rPr>
              <w:t>東華附小洪菁菁組長</w:t>
            </w:r>
          </w:p>
          <w:p w:rsidR="00A86644" w:rsidRPr="00C9695B" w:rsidRDefault="00A86644" w:rsidP="00A86644">
            <w:pPr>
              <w:spacing w:after="0" w:line="240" w:lineRule="atLeast"/>
              <w:rPr>
                <w:rFonts w:ascii="標楷體" w:eastAsia="標楷體" w:hAnsi="標楷體"/>
                <w:sz w:val="24"/>
                <w:szCs w:val="24"/>
              </w:rPr>
            </w:pPr>
            <w:r>
              <w:rPr>
                <w:rFonts w:ascii="標楷體" w:eastAsia="標楷體" w:hAnsi="標楷體" w:cs="Gungsuh" w:hint="eastAsia"/>
                <w:sz w:val="24"/>
                <w:szCs w:val="24"/>
              </w:rPr>
              <w:t>稻香國小黃桂蓉老師</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銅蘭國小行政團隊</w:t>
            </w:r>
          </w:p>
        </w:tc>
      </w:tr>
    </w:tbl>
    <w:p w:rsidR="00A86644" w:rsidRDefault="00A86644" w:rsidP="00C9695B">
      <w:pPr>
        <w:spacing w:after="0" w:line="240" w:lineRule="atLeast"/>
        <w:rPr>
          <w:rFonts w:ascii="標楷體" w:eastAsia="標楷體" w:hAnsi="標楷體"/>
          <w:sz w:val="24"/>
          <w:szCs w:val="24"/>
        </w:rPr>
      </w:pPr>
    </w:p>
    <w:p w:rsidR="00A86644" w:rsidRDefault="00A86644" w:rsidP="00C9695B">
      <w:pPr>
        <w:spacing w:after="0" w:line="240" w:lineRule="atLeast"/>
        <w:rPr>
          <w:rFonts w:ascii="標楷體" w:eastAsia="標楷體" w:hAnsi="標楷體"/>
          <w:sz w:val="24"/>
          <w:szCs w:val="24"/>
        </w:rPr>
      </w:pPr>
    </w:p>
    <w:p w:rsidR="00A86644" w:rsidRDefault="00A86644" w:rsidP="00C9695B">
      <w:pPr>
        <w:spacing w:after="0" w:line="240" w:lineRule="atLeast"/>
        <w:rPr>
          <w:rFonts w:ascii="標楷體" w:eastAsia="標楷體" w:hAnsi="標楷體"/>
          <w:sz w:val="24"/>
          <w:szCs w:val="24"/>
        </w:rPr>
      </w:pPr>
    </w:p>
    <w:p w:rsidR="00A86644" w:rsidRPr="00C9695B" w:rsidRDefault="00A86644" w:rsidP="00C9695B">
      <w:pPr>
        <w:spacing w:after="0" w:line="240" w:lineRule="atLeast"/>
        <w:rPr>
          <w:rFonts w:ascii="標楷體" w:eastAsia="標楷體" w:hAnsi="標楷體"/>
          <w:sz w:val="24"/>
          <w:szCs w:val="24"/>
        </w:rPr>
      </w:pPr>
    </w:p>
    <w:p w:rsidR="002001A0" w:rsidRPr="00C9695B" w:rsidRDefault="002001A0" w:rsidP="00C9695B">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297"/>
        <w:gridCol w:w="1004"/>
        <w:gridCol w:w="1418"/>
        <w:gridCol w:w="850"/>
        <w:gridCol w:w="1134"/>
        <w:gridCol w:w="3967"/>
      </w:tblGrid>
      <w:tr w:rsidR="002001A0" w:rsidRPr="00C9695B" w:rsidTr="00BC05E6">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2001A0" w:rsidRPr="00C9695B" w:rsidTr="00BC05E6">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C9695B"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002001A0"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2001A0" w:rsidRPr="00C9695B" w:rsidTr="00BC05E6">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002001A0"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002001A0" w:rsidRPr="00C9695B">
              <w:rPr>
                <w:rFonts w:ascii="標楷體" w:eastAsia="標楷體" w:hAnsi="標楷體" w:cs="標楷體"/>
                <w:sz w:val="24"/>
                <w:szCs w:val="24"/>
              </w:rPr>
              <w:t>人+工作人員</w:t>
            </w:r>
          </w:p>
        </w:tc>
      </w:tr>
      <w:tr w:rsidR="002001A0" w:rsidRPr="00C9695B" w:rsidTr="00BC05E6">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BC05E6"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002001A0"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p>
        </w:tc>
      </w:tr>
      <w:tr w:rsidR="002001A0" w:rsidRPr="00C9695B" w:rsidTr="00BC05E6">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002001A0"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002001A0"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2001A0" w:rsidRPr="00C9695B" w:rsidTr="00BC05E6">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154791"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002001A0"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154791"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p>
        </w:tc>
      </w:tr>
      <w:tr w:rsidR="002001A0" w:rsidRPr="00C9695B" w:rsidTr="00BC05E6">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46331B">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BC05E6">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sidR="00154791">
              <w:rPr>
                <w:rFonts w:ascii="標楷體" w:eastAsia="標楷體" w:hAnsi="標楷體" w:cs="標楷體"/>
                <w:sz w:val="24"/>
                <w:szCs w:val="24"/>
              </w:rPr>
              <w:t>12</w:t>
            </w:r>
            <w:r w:rsidRPr="00C9695B">
              <w:rPr>
                <w:rFonts w:ascii="標楷體" w:eastAsia="標楷體" w:hAnsi="標楷體" w:cs="標楷體"/>
                <w:sz w:val="24"/>
                <w:szCs w:val="24"/>
              </w:rPr>
              <w:t>,</w:t>
            </w:r>
            <w:r w:rsidR="00154791">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46331B">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2001A0" w:rsidRPr="00C9695B" w:rsidRDefault="002001A0" w:rsidP="00C9695B">
      <w:pPr>
        <w:spacing w:after="0" w:line="240" w:lineRule="atLeast"/>
        <w:rPr>
          <w:rFonts w:ascii="標楷體" w:eastAsia="標楷體" w:hAnsi="標楷體"/>
          <w:sz w:val="24"/>
          <w:szCs w:val="24"/>
        </w:rPr>
      </w:pPr>
    </w:p>
    <w:p w:rsidR="002001A0" w:rsidRPr="00154791" w:rsidRDefault="002001A0" w:rsidP="00C9695B">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2001A0" w:rsidRPr="00C9695B" w:rsidRDefault="002001A0" w:rsidP="00C9695B">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2001A0" w:rsidRPr="00C9695B" w:rsidRDefault="002001A0" w:rsidP="00C9695B">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2001A0" w:rsidRDefault="002001A0" w:rsidP="00C9695B">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lastRenderedPageBreak/>
        <w:t>三、</w:t>
      </w:r>
      <w:r w:rsidRPr="00C9695B">
        <w:rPr>
          <w:rFonts w:ascii="標楷體" w:eastAsia="標楷體" w:hAnsi="標楷體" w:cs="Gungsuh"/>
          <w:sz w:val="24"/>
          <w:szCs w:val="24"/>
        </w:rPr>
        <w:t>參與教師能正視教學困境，並透過討論分享尋求解決策略。</w:t>
      </w:r>
    </w:p>
    <w:p w:rsidR="00154791" w:rsidRPr="00C9695B" w:rsidRDefault="00154791" w:rsidP="00C9695B">
      <w:pPr>
        <w:spacing w:after="0" w:line="240" w:lineRule="atLeast"/>
        <w:ind w:left="975" w:hanging="691"/>
        <w:rPr>
          <w:rFonts w:ascii="標楷體" w:eastAsia="標楷體" w:hAnsi="標楷體"/>
          <w:sz w:val="24"/>
          <w:szCs w:val="24"/>
        </w:rPr>
      </w:pPr>
    </w:p>
    <w:p w:rsidR="002001A0" w:rsidRPr="00154791" w:rsidRDefault="002001A0" w:rsidP="00C9695B">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拾壹</w:t>
      </w:r>
      <w:r w:rsidRPr="00154791">
        <w:rPr>
          <w:rFonts w:ascii="標楷體" w:eastAsia="標楷體" w:hAnsi="標楷體" w:cs="Gungsuh"/>
          <w:b/>
          <w:sz w:val="24"/>
          <w:szCs w:val="24"/>
        </w:rPr>
        <w:t>、預期成效</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收集參與教師應用案例30則。</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2001A0" w:rsidRPr="00C9695B" w:rsidRDefault="002001A0" w:rsidP="00C9695B">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C9695B" w:rsidRDefault="00F57BFD" w:rsidP="00C9695B">
      <w:pPr>
        <w:spacing w:after="0" w:line="240" w:lineRule="atLeast"/>
        <w:rPr>
          <w:sz w:val="24"/>
          <w:szCs w:val="24"/>
        </w:rPr>
      </w:pPr>
    </w:p>
    <w:sectPr w:rsidR="00F57BFD" w:rsidRPr="00C9695B" w:rsidSect="002001A0">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8C" w:rsidRDefault="00276D8C" w:rsidP="00C9695B">
      <w:pPr>
        <w:spacing w:after="0" w:line="240" w:lineRule="auto"/>
      </w:pPr>
      <w:r>
        <w:separator/>
      </w:r>
    </w:p>
  </w:endnote>
  <w:endnote w:type="continuationSeparator" w:id="0">
    <w:p w:rsidR="00276D8C" w:rsidRDefault="00276D8C" w:rsidP="00C9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8C" w:rsidRDefault="00276D8C" w:rsidP="00C9695B">
      <w:pPr>
        <w:spacing w:after="0" w:line="240" w:lineRule="auto"/>
      </w:pPr>
      <w:r>
        <w:separator/>
      </w:r>
    </w:p>
  </w:footnote>
  <w:footnote w:type="continuationSeparator" w:id="0">
    <w:p w:rsidR="00276D8C" w:rsidRDefault="00276D8C" w:rsidP="00C96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0"/>
    <w:rsid w:val="00154791"/>
    <w:rsid w:val="00155EBE"/>
    <w:rsid w:val="002001A0"/>
    <w:rsid w:val="00276D8C"/>
    <w:rsid w:val="00346F72"/>
    <w:rsid w:val="0037247E"/>
    <w:rsid w:val="00384E55"/>
    <w:rsid w:val="003B2E8B"/>
    <w:rsid w:val="003F6769"/>
    <w:rsid w:val="0046331B"/>
    <w:rsid w:val="005C7E37"/>
    <w:rsid w:val="006B56C2"/>
    <w:rsid w:val="008C241E"/>
    <w:rsid w:val="00923F37"/>
    <w:rsid w:val="00A86644"/>
    <w:rsid w:val="00BC05E6"/>
    <w:rsid w:val="00BC4631"/>
    <w:rsid w:val="00C9695B"/>
    <w:rsid w:val="00D12052"/>
    <w:rsid w:val="00F57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695B"/>
    <w:pPr>
      <w:tabs>
        <w:tab w:val="center" w:pos="4153"/>
        <w:tab w:val="right" w:pos="8306"/>
      </w:tabs>
      <w:snapToGrid w:val="0"/>
    </w:pPr>
    <w:rPr>
      <w:sz w:val="20"/>
      <w:szCs w:val="20"/>
    </w:rPr>
  </w:style>
  <w:style w:type="character" w:customStyle="1" w:styleId="a4">
    <w:name w:val="頁首 字元"/>
    <w:basedOn w:val="a0"/>
    <w:link w:val="a3"/>
    <w:rsid w:val="00C9695B"/>
    <w:rPr>
      <w:rFonts w:ascii="Calibri" w:eastAsiaTheme="minorEastAsia" w:hAnsi="Calibri" w:cs="Calibri"/>
      <w:color w:val="000000"/>
    </w:rPr>
  </w:style>
  <w:style w:type="paragraph" w:styleId="a5">
    <w:name w:val="footer"/>
    <w:basedOn w:val="a"/>
    <w:link w:val="a6"/>
    <w:rsid w:val="00C9695B"/>
    <w:pPr>
      <w:tabs>
        <w:tab w:val="center" w:pos="4153"/>
        <w:tab w:val="right" w:pos="8306"/>
      </w:tabs>
      <w:snapToGrid w:val="0"/>
    </w:pPr>
    <w:rPr>
      <w:sz w:val="20"/>
      <w:szCs w:val="20"/>
    </w:rPr>
  </w:style>
  <w:style w:type="character" w:customStyle="1" w:styleId="a6">
    <w:name w:val="頁尾 字元"/>
    <w:basedOn w:val="a0"/>
    <w:link w:val="a5"/>
    <w:rsid w:val="00C9695B"/>
    <w:rPr>
      <w:rFonts w:ascii="Calibri" w:eastAsiaTheme="minorEastAsia"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695B"/>
    <w:pPr>
      <w:tabs>
        <w:tab w:val="center" w:pos="4153"/>
        <w:tab w:val="right" w:pos="8306"/>
      </w:tabs>
      <w:snapToGrid w:val="0"/>
    </w:pPr>
    <w:rPr>
      <w:sz w:val="20"/>
      <w:szCs w:val="20"/>
    </w:rPr>
  </w:style>
  <w:style w:type="character" w:customStyle="1" w:styleId="a4">
    <w:name w:val="頁首 字元"/>
    <w:basedOn w:val="a0"/>
    <w:link w:val="a3"/>
    <w:rsid w:val="00C9695B"/>
    <w:rPr>
      <w:rFonts w:ascii="Calibri" w:eastAsiaTheme="minorEastAsia" w:hAnsi="Calibri" w:cs="Calibri"/>
      <w:color w:val="000000"/>
    </w:rPr>
  </w:style>
  <w:style w:type="paragraph" w:styleId="a5">
    <w:name w:val="footer"/>
    <w:basedOn w:val="a"/>
    <w:link w:val="a6"/>
    <w:rsid w:val="00C9695B"/>
    <w:pPr>
      <w:tabs>
        <w:tab w:val="center" w:pos="4153"/>
        <w:tab w:val="right" w:pos="8306"/>
      </w:tabs>
      <w:snapToGrid w:val="0"/>
    </w:pPr>
    <w:rPr>
      <w:sz w:val="20"/>
      <w:szCs w:val="20"/>
    </w:rPr>
  </w:style>
  <w:style w:type="character" w:customStyle="1" w:styleId="a6">
    <w:name w:val="頁尾 字元"/>
    <w:basedOn w:val="a0"/>
    <w:link w:val="a5"/>
    <w:rsid w:val="00C9695B"/>
    <w:rPr>
      <w:rFonts w:ascii="Calibri" w:eastAsiaTheme="minorEastAsia"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智翔 胡</dc:creator>
  <cp:lastModifiedBy>Domain</cp:lastModifiedBy>
  <cp:revision>2</cp:revision>
  <dcterms:created xsi:type="dcterms:W3CDTF">2019-04-17T02:53:00Z</dcterms:created>
  <dcterms:modified xsi:type="dcterms:W3CDTF">2019-04-17T02:53:00Z</dcterms:modified>
</cp:coreProperties>
</file>